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8C747B" w:rsidRPr="008C747B" w:rsidTr="008C747B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8C747B" w:rsidRPr="008C747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C747B" w:rsidRPr="008C747B" w:rsidRDefault="008C747B" w:rsidP="008C747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8C74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4 Nisan </w:t>
                  </w:r>
                  <w:proofErr w:type="gramStart"/>
                  <w:r w:rsidRPr="008C74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CUMA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C747B" w:rsidRPr="008C747B" w:rsidRDefault="008C747B" w:rsidP="008C747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8C747B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C747B" w:rsidRPr="008C747B" w:rsidRDefault="008C747B" w:rsidP="008C747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8C74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28962</w:t>
                  </w:r>
                  <w:proofErr w:type="gramEnd"/>
                </w:p>
              </w:tc>
            </w:tr>
            <w:tr w:rsidR="008C747B" w:rsidRPr="008C747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8C747B" w:rsidRPr="008C747B" w:rsidRDefault="008C747B" w:rsidP="008C7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8C747B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C747B" w:rsidRPr="008C747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  <w:u w:val="single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  <w:u w:val="single"/>
                    </w:rPr>
                    <w:t>Ekonomi Bakanlığından:</w:t>
                  </w:r>
                </w:p>
                <w:p w:rsidR="008C747B" w:rsidRPr="008C747B" w:rsidRDefault="008C747B" w:rsidP="008C747B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İTHALATTA KORUNMA ÖNLEMLERİNE İLİŞKİN TEBLİĞ</w:t>
                  </w:r>
                </w:p>
                <w:p w:rsidR="008C747B" w:rsidRPr="008C747B" w:rsidRDefault="008C747B" w:rsidP="008C747B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(TEBLİĞ NO: 2014/3)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MADDE 1 –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(1) Bu Tebliğ, </w:t>
                  </w:r>
                  <w:proofErr w:type="gramStart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>14/12/2013</w:t>
                  </w:r>
                  <w:proofErr w:type="gramEnd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tarihli ve 28851 sayılı Resmî Gazete’de yayımlanan İthalatta Korunma Önlemlerine İlişkin Tebliğ (Tebliğ No: 2013/10) ile başlatılan ve 10/5/2004 tarihli ve 2004/7305 sayılı Bakanlar Kurulu Kararı ile yürürlüğe konulan İthalatta Korunma Önlemleri Hakkında Karar ve 8/6/2004 tarihli ve 25486 sayılı Resmî Gazete’de yayımlanan İthalatta Korunma Önlemleri Yönetmeliği çerçevesinde yürütülen soruşturma sonucunda alınan kararı içermektedir.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 xml:space="preserve">Soruşturma 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MADDE 2 –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(1) Ekonomi Bakanlığı İthalat Genel Müdürlüğü tarafından yürütülerek tamamlanan soruşturma sonucunda ulaşılan bilgi ve bulguları içeren özet sonuç raporu Bakanlığa ait Ticaret Politikası Savunma Araçları (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  <w:u w:val="single"/>
                    </w:rPr>
                    <w:t>www.</w:t>
                  </w:r>
                  <w:proofErr w:type="spellStart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  <w:u w:val="single"/>
                    </w:rPr>
                    <w:t>tpsa</w:t>
                  </w:r>
                  <w:proofErr w:type="spellEnd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  <w:u w:val="single"/>
                    </w:rPr>
                    <w:t>.gov.tr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>) web sayfasının Korunma Önlemleri bölümünde yer almaktadır.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 xml:space="preserve">Karar 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MADDE 3 –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(1) İthalatta Korunma Önlemlerini Değerlendirme Kurulu, aşağıda Gümrük Tarife Pozisyonu (GTP) ve tanımı belirtilen eşyanın ithalatında uygulanan korunma önleminin 2 (iki) yıl süreyle uzatılmasına, korunma önleminin ek mali yükümlülük şeklinde uygulanmasına, ek mali yükümlülüğün aşağıdaki tabloda belirtilen tutarlarda belirlenmesine, Dünya Ticaret Örgütü Korunma Önlemleri Anlaşması’nın </w:t>
                  </w:r>
                  <w:proofErr w:type="gramStart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>9.1</w:t>
                  </w:r>
                  <w:proofErr w:type="gramEnd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maddesi gereğince gelişmekte olan ülkelere muafiyet tanınmasına ve önlemin istihsali hususunda Bakanlar Kurulu’na öneride bulunulmasına toplantıya katılan üyelerin oy çokluğu ile karar vermiştir.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</w:p>
                <w:tbl>
                  <w:tblPr>
                    <w:tblW w:w="8516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60"/>
                    <w:gridCol w:w="2896"/>
                    <w:gridCol w:w="2256"/>
                    <w:gridCol w:w="2258"/>
                    <w:gridCol w:w="146"/>
                  </w:tblGrid>
                  <w:tr w:rsidR="008C747B" w:rsidRPr="008C747B">
                    <w:trPr>
                      <w:trHeight w:val="300"/>
                      <w:jc w:val="center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G.T.P</w:t>
                        </w:r>
                        <w:proofErr w:type="gramEnd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Eşya Tanımı</w:t>
                        </w:r>
                      </w:p>
                    </w:tc>
                    <w:tc>
                      <w:tcPr>
                        <w:tcW w:w="459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Ek Mali Yükümlülük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8C747B" w:rsidRPr="008C747B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8C747B" w:rsidRPr="008C747B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gramStart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8/4/2014</w:t>
                        </w:r>
                        <w:proofErr w:type="gramEnd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– 7/4/2015)</w:t>
                        </w:r>
                      </w:p>
                    </w:tc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gramStart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8/4/2015</w:t>
                        </w:r>
                        <w:proofErr w:type="gramEnd"/>
                        <w:r w:rsidRPr="008C74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– 7/4/2016)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8C747B" w:rsidRPr="008C747B">
                    <w:trPr>
                      <w:trHeight w:val="255"/>
                      <w:jc w:val="center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42.02*</w:t>
                        </w:r>
                      </w:p>
                    </w:tc>
                    <w:tc>
                      <w:tcPr>
                        <w:tcW w:w="29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Seyahat Çantaları, El Çantaları ve Benzeri Mahfazalar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2,40 ABD Doları/Kg - Maksimum 3,50 ABD Doları/Adet</w:t>
                        </w:r>
                      </w:p>
                    </w:tc>
                    <w:tc>
                      <w:tcPr>
                        <w:tcW w:w="229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C74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2,30 ABD Doları/Kg - Maksimum 3,25 ABD Doları/Adet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8C747B" w:rsidRPr="008C747B">
                    <w:trPr>
                      <w:trHeight w:val="58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8C747B" w:rsidRPr="008C747B" w:rsidRDefault="008C747B" w:rsidP="008C74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>*4202.19.90.30.00, 4202.19.90.50.00, 4202.39.00.20.00, 4202.39.00.30.00, 4202.39.00.40.00, 4202.39.00.50.00, 4202.39.00.60.00, 4202.99.00.30.00, 4202.99.00.40.00, 4202.99.00.50.00, 4202.99.00.60.00 Gümrük Tarife İstatistik Pozisyonları altında yer alan eşya hariç.</w:t>
                  </w:r>
                  <w:proofErr w:type="gramEnd"/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 xml:space="preserve">Yürürlük 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MADDE 4 –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(1) Bu Tebliğ yayımı tarihinde yürürlüğe girer.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 xml:space="preserve">Yürütme </w:t>
                  </w:r>
                </w:p>
                <w:p w:rsidR="008C747B" w:rsidRPr="008C747B" w:rsidRDefault="008C747B" w:rsidP="008C747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szCs w:val="20"/>
                    </w:rPr>
                  </w:pPr>
                  <w:r w:rsidRPr="008C747B">
                    <w:rPr>
                      <w:rFonts w:ascii="Times New Roman" w:eastAsia="ヒラギノ明朝 Pro W3" w:hAnsi="Times New Roman" w:cs="Times New Roman"/>
                      <w:b/>
                      <w:sz w:val="18"/>
                      <w:szCs w:val="18"/>
                    </w:rPr>
                    <w:t>MADDE 5 –</w:t>
                  </w:r>
                  <w:r w:rsidRPr="008C747B">
                    <w:rPr>
                      <w:rFonts w:ascii="Times New Roman" w:eastAsia="ヒラギノ明朝 Pro W3" w:hAnsi="Times New Roman" w:cs="Times New Roman"/>
                      <w:sz w:val="18"/>
                      <w:szCs w:val="18"/>
                    </w:rPr>
                    <w:t xml:space="preserve"> (1) Bu Tebliğ hükümlerini Ekonomi Bakanı yürütür.</w:t>
                  </w:r>
                </w:p>
                <w:p w:rsidR="008C747B" w:rsidRPr="008C747B" w:rsidRDefault="008C747B" w:rsidP="008C7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C747B" w:rsidRPr="008C747B" w:rsidRDefault="008C747B" w:rsidP="008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C747B" w:rsidRPr="008C747B" w:rsidRDefault="008C747B" w:rsidP="008C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ヒラギノ明朝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47B"/>
    <w:rsid w:val="007330D5"/>
    <w:rsid w:val="0078081C"/>
    <w:rsid w:val="00861F2B"/>
    <w:rsid w:val="008C747B"/>
    <w:rsid w:val="00E53A72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8C747B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8C747B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8C747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8C747B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Company>itkib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2014-04-04T06:30:00Z</dcterms:created>
  <dcterms:modified xsi:type="dcterms:W3CDTF">2014-04-04T06:39:00Z</dcterms:modified>
</cp:coreProperties>
</file>